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09E6" w14:textId="31DA825C" w:rsidR="0046322A" w:rsidRPr="00B77CEC" w:rsidRDefault="00B77CEC" w:rsidP="00B77C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CEC">
        <w:rPr>
          <w:rFonts w:ascii="Times New Roman" w:eastAsia="Times New Roman" w:hAnsi="Times New Roman" w:cs="Times New Roman"/>
          <w:b/>
          <w:sz w:val="28"/>
          <w:szCs w:val="28"/>
        </w:rPr>
        <w:t>2024-103 nolu Proje Malzeme Teknik şartnamesi</w:t>
      </w:r>
    </w:p>
    <w:p w14:paraId="27544E01" w14:textId="77777777" w:rsidR="00B77CEC" w:rsidRDefault="00B77CEC" w:rsidP="00B77CEC">
      <w:pPr>
        <w:jc w:val="both"/>
      </w:pPr>
    </w:p>
    <w:p w14:paraId="2181CBFA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Monoklonal Antikor (CD3, CD4, CD8, CD16, CD45, CD56, CD94, CD314) Teknik Şartnamesi</w:t>
      </w:r>
    </w:p>
    <w:p w14:paraId="0B7AFD9B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Reaktif ile periferik kan, kemik iliği,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aferez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ürünü ve immün sistem hücrelerinin bulunduğu hücre süspansiyonlarında (homojenize hücre süspansiyonları, BOS, eklem sıvısı ve inflamasyon koleksiyonları)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immünfenotiplendirme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çalışmaları yapılmalıdır.</w:t>
      </w:r>
    </w:p>
    <w:p w14:paraId="085FD73D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Monoklonal antikorlar, insan ve/veya hayvan hücreleri üzerindeki antijenlere spesifik olmalıdır, antijen-antikor ilişkisi kurarak bağlanmalıdır.</w:t>
      </w:r>
    </w:p>
    <w:p w14:paraId="5FD0EDEA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Monoklonal antikorlar, direkt floresan işaretli olmalıdır, fazladan uygulanacak herhangi bir işleme gerek duyulmamalıdır, kırmızı kan hücrelerinin uzaklaştırma işleminden etkilenmemelidir.</w:t>
      </w:r>
    </w:p>
    <w:p w14:paraId="6D441108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Monoklonal antikorların saklama koşulları, lot numaraları ve şişedeki test miktarları, şişenin ve/veya kutunun üzerindeki etikette belirtilmiş olmalıdır.</w:t>
      </w:r>
    </w:p>
    <w:p w14:paraId="674E56BE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Monoklonal antikorlar orijinal ambalajlarında teslim edilmeli, ambalaj formları kullanıma hazır sıvı formda, 25, 50 ve/veya 100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testlik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numuneler halinde olmalıdır.</w:t>
      </w:r>
    </w:p>
    <w:p w14:paraId="43629429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Monoklonal antikorların verimli çalışması sağlanmalıdır, en az şişe üzerinde belirtilen test miktarı kadar çalışma yapılabilmelidir.</w:t>
      </w:r>
    </w:p>
    <w:p w14:paraId="37DABA44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Monoklonal antikorların son kullanma tarihleri teslim tarihinden itibaren en az 6 (altı) ay olmalıdır.</w:t>
      </w:r>
    </w:p>
    <w:p w14:paraId="5D28A695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 Teklif edilen antikorlar, merkezi Laboratuvar Tıbbi Biyokimya Birimi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Sitometri laboratuvarında mevcut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Navios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Beckman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Coulter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) lazer 10 renk cihazıyla uyumlu olmalı 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flow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cihazında kompanzasyon problemi yaratırsa aplikasyon ve teknik destek sağlanmalıdır.</w:t>
      </w:r>
    </w:p>
    <w:p w14:paraId="7B8B80D6" w14:textId="77777777" w:rsidR="00B77CEC" w:rsidRDefault="00B77CEC" w:rsidP="00B77C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 Teklife söz konusu olan antikorların çalışılabilmesi için gerekli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Navios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cihaz sarfları da bedelsiz sağlanmalıdır.</w:t>
      </w:r>
    </w:p>
    <w:p w14:paraId="2B16B746" w14:textId="77777777" w:rsidR="00B77CEC" w:rsidRDefault="00B77CEC" w:rsidP="00B77CEC">
      <w:pPr>
        <w:jc w:val="both"/>
      </w:pPr>
    </w:p>
    <w:sectPr w:rsidR="00B7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EC"/>
    <w:rsid w:val="00016573"/>
    <w:rsid w:val="00173C71"/>
    <w:rsid w:val="0046322A"/>
    <w:rsid w:val="00B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22F3"/>
  <w15:chartTrackingRefBased/>
  <w15:docId w15:val="{57488542-7BF0-4F1D-9141-193CE240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77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7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7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77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77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77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77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77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77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77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7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7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77CE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77CE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77C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77C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77C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77C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77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77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77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77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77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77C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77C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77CE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77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77CE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77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2024-11-18T08:32:00Z</dcterms:created>
  <dcterms:modified xsi:type="dcterms:W3CDTF">2024-11-18T08:33:00Z</dcterms:modified>
</cp:coreProperties>
</file>